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22" w:type="dxa"/>
        <w:tblInd w:w="-113" w:type="dxa"/>
        <w:tblLook w:val="04A0" w:firstRow="1" w:lastRow="0" w:firstColumn="1" w:lastColumn="0" w:noHBand="0" w:noVBand="1"/>
      </w:tblPr>
      <w:tblGrid>
        <w:gridCol w:w="392"/>
        <w:gridCol w:w="2126"/>
        <w:gridCol w:w="6804"/>
      </w:tblGrid>
      <w:tr w:rsidR="00C30335" w:rsidRPr="00C30335" w14:paraId="47D2A6C1" w14:textId="77777777" w:rsidTr="00C30335">
        <w:trPr>
          <w:trHeight w:val="274"/>
        </w:trPr>
        <w:tc>
          <w:tcPr>
            <w:tcW w:w="392" w:type="dxa"/>
          </w:tcPr>
          <w:p w14:paraId="5B9BD9A9" w14:textId="77777777" w:rsidR="00C30335" w:rsidRPr="00C30335" w:rsidRDefault="00C30335" w:rsidP="00C30335">
            <w:pPr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4FA0B4E" w14:textId="539BD6A0" w:rsidR="00C30335" w:rsidRPr="00C30335" w:rsidRDefault="00C30335" w:rsidP="00C30335">
            <w:pPr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>C</w:t>
            </w:r>
            <w:r w:rsidRPr="00C30335">
              <w:rPr>
                <w:rFonts w:eastAsia="Calibri" w:cs="Times New Roman"/>
                <w:b/>
                <w:sz w:val="16"/>
                <w:szCs w:val="16"/>
              </w:rPr>
              <w:t>onstructs</w:t>
            </w:r>
          </w:p>
        </w:tc>
        <w:tc>
          <w:tcPr>
            <w:tcW w:w="6804" w:type="dxa"/>
          </w:tcPr>
          <w:p w14:paraId="079059D3" w14:textId="77777777" w:rsidR="00C30335" w:rsidRPr="00C30335" w:rsidRDefault="00C30335" w:rsidP="00C30335">
            <w:pPr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C30335" w:rsidRPr="00C30335" w14:paraId="7008D2DE" w14:textId="77777777" w:rsidTr="00C30335">
        <w:trPr>
          <w:trHeight w:val="606"/>
        </w:trPr>
        <w:tc>
          <w:tcPr>
            <w:tcW w:w="392" w:type="dxa"/>
            <w:shd w:val="clear" w:color="auto" w:fill="C5E0B3"/>
            <w:vAlign w:val="center"/>
          </w:tcPr>
          <w:p w14:paraId="77540F4E" w14:textId="77777777" w:rsidR="00C30335" w:rsidRPr="00C30335" w:rsidRDefault="00C30335" w:rsidP="00C30335">
            <w:pPr>
              <w:spacing w:before="120" w:after="120"/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C5E0B3"/>
            <w:vAlign w:val="center"/>
          </w:tcPr>
          <w:p w14:paraId="6EDC1154" w14:textId="77777777" w:rsidR="00C30335" w:rsidRPr="00C30335" w:rsidRDefault="00C30335" w:rsidP="00C30335">
            <w:pPr>
              <w:spacing w:before="120" w:after="120"/>
              <w:rPr>
                <w:rFonts w:eastAsia="Calibri" w:cs="Times New Roman"/>
                <w:b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Quality and standards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B91B63C" w14:textId="39C97007" w:rsidR="00C30335" w:rsidRPr="00C30335" w:rsidRDefault="00C30335" w:rsidP="00C30335">
            <w:pPr>
              <w:spacing w:before="120" w:after="120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In my experience, the marking criteria are closely followed in this school  </w:t>
            </w:r>
          </w:p>
        </w:tc>
      </w:tr>
      <w:tr w:rsidR="00C30335" w:rsidRPr="00C30335" w14:paraId="595FE67D" w14:textId="77777777" w:rsidTr="00C30335">
        <w:trPr>
          <w:trHeight w:val="502"/>
        </w:trPr>
        <w:tc>
          <w:tcPr>
            <w:tcW w:w="392" w:type="dxa"/>
            <w:shd w:val="clear" w:color="auto" w:fill="C5E0B3"/>
          </w:tcPr>
          <w:p w14:paraId="1D8E7BE5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C5E0B3"/>
          </w:tcPr>
          <w:p w14:paraId="7E33D3BC" w14:textId="77777777" w:rsidR="00C30335" w:rsidRPr="00C30335" w:rsidRDefault="00C30335" w:rsidP="00C3033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Quality and standards</w:t>
            </w:r>
          </w:p>
        </w:tc>
        <w:tc>
          <w:tcPr>
            <w:tcW w:w="6804" w:type="dxa"/>
            <w:shd w:val="clear" w:color="auto" w:fill="C5E0B3"/>
          </w:tcPr>
          <w:p w14:paraId="254EC172" w14:textId="7FDB9EFF" w:rsidR="00C30335" w:rsidRPr="00C30335" w:rsidRDefault="00C30335" w:rsidP="00C30335">
            <w:pPr>
              <w:widowControl w:val="0"/>
              <w:spacing w:before="120" w:after="120" w:line="240" w:lineRule="auto"/>
              <w:ind w:right="165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Marking consistency occurs when markers closely follow the marking criteria </w:t>
            </w:r>
          </w:p>
        </w:tc>
      </w:tr>
      <w:tr w:rsidR="00C30335" w:rsidRPr="00C30335" w14:paraId="70A474CA" w14:textId="77777777" w:rsidTr="00C30335">
        <w:tc>
          <w:tcPr>
            <w:tcW w:w="392" w:type="dxa"/>
            <w:shd w:val="clear" w:color="auto" w:fill="C5E0B3"/>
          </w:tcPr>
          <w:p w14:paraId="4F1A2C77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126" w:type="dxa"/>
            <w:shd w:val="clear" w:color="auto" w:fill="C5E0B3"/>
          </w:tcPr>
          <w:p w14:paraId="3A28B004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Quality and standards</w:t>
            </w:r>
          </w:p>
        </w:tc>
        <w:tc>
          <w:tcPr>
            <w:tcW w:w="6804" w:type="dxa"/>
            <w:shd w:val="clear" w:color="auto" w:fill="C5E0B3"/>
          </w:tcPr>
          <w:p w14:paraId="45F55AAD" w14:textId="276F9067" w:rsidR="00C30335" w:rsidRPr="00C30335" w:rsidRDefault="00C30335" w:rsidP="00C30335">
            <w:pPr>
              <w:widowControl w:val="0"/>
              <w:spacing w:before="120" w:after="120" w:line="240" w:lineRule="auto"/>
              <w:ind w:right="165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  <w:lang w:val="en-US"/>
              </w:rPr>
              <w:t xml:space="preserve">Overall, the marking criteria provided are useful as a guide </w:t>
            </w:r>
          </w:p>
        </w:tc>
      </w:tr>
      <w:tr w:rsidR="00C30335" w:rsidRPr="00C30335" w14:paraId="350D9ADA" w14:textId="77777777" w:rsidTr="00C30335">
        <w:trPr>
          <w:trHeight w:val="403"/>
        </w:trPr>
        <w:tc>
          <w:tcPr>
            <w:tcW w:w="392" w:type="dxa"/>
            <w:shd w:val="clear" w:color="auto" w:fill="F7CAAC"/>
          </w:tcPr>
          <w:p w14:paraId="70215055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126" w:type="dxa"/>
            <w:shd w:val="clear" w:color="auto" w:fill="F7CAAC"/>
          </w:tcPr>
          <w:p w14:paraId="4913BCE5" w14:textId="77777777" w:rsidR="00C30335" w:rsidRPr="00C30335" w:rsidRDefault="00C30335" w:rsidP="00C3033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Consistency and Variability</w:t>
            </w:r>
          </w:p>
        </w:tc>
        <w:tc>
          <w:tcPr>
            <w:tcW w:w="6804" w:type="dxa"/>
            <w:shd w:val="clear" w:color="auto" w:fill="F7CAAC"/>
          </w:tcPr>
          <w:p w14:paraId="15428C50" w14:textId="7E038B51" w:rsidR="00C30335" w:rsidRPr="00C30335" w:rsidRDefault="00C30335" w:rsidP="00C30335">
            <w:pPr>
              <w:spacing w:before="120" w:after="120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Excessive marking load impacts upon the quality of my marking </w:t>
            </w:r>
          </w:p>
        </w:tc>
      </w:tr>
      <w:tr w:rsidR="00C30335" w:rsidRPr="00C30335" w14:paraId="1C3040D8" w14:textId="77777777" w:rsidTr="00C30335">
        <w:tc>
          <w:tcPr>
            <w:tcW w:w="392" w:type="dxa"/>
            <w:shd w:val="clear" w:color="auto" w:fill="F7CAAC"/>
          </w:tcPr>
          <w:p w14:paraId="65FA631A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2126" w:type="dxa"/>
            <w:shd w:val="clear" w:color="auto" w:fill="F7CAAC"/>
          </w:tcPr>
          <w:p w14:paraId="51B8C857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Consistency and Variability</w:t>
            </w:r>
          </w:p>
        </w:tc>
        <w:tc>
          <w:tcPr>
            <w:tcW w:w="6804" w:type="dxa"/>
            <w:shd w:val="clear" w:color="auto" w:fill="F7CAAC"/>
          </w:tcPr>
          <w:p w14:paraId="38EAA106" w14:textId="6904A2B3" w:rsidR="00C30335" w:rsidRPr="00C30335" w:rsidRDefault="00C30335" w:rsidP="00C30335">
            <w:pPr>
              <w:spacing w:before="120" w:after="120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Overall, I enjoy marking assessment items in this School </w:t>
            </w:r>
          </w:p>
        </w:tc>
      </w:tr>
      <w:tr w:rsidR="00C30335" w:rsidRPr="00C30335" w14:paraId="796E2199" w14:textId="77777777" w:rsidTr="00C30335">
        <w:tc>
          <w:tcPr>
            <w:tcW w:w="392" w:type="dxa"/>
            <w:shd w:val="clear" w:color="auto" w:fill="F7CAAC"/>
          </w:tcPr>
          <w:p w14:paraId="023453E6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2126" w:type="dxa"/>
            <w:shd w:val="clear" w:color="auto" w:fill="F7CAAC"/>
          </w:tcPr>
          <w:p w14:paraId="2C833F3A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Consistency and Variability</w:t>
            </w:r>
          </w:p>
        </w:tc>
        <w:tc>
          <w:tcPr>
            <w:tcW w:w="6804" w:type="dxa"/>
            <w:shd w:val="clear" w:color="auto" w:fill="F7CAAC"/>
          </w:tcPr>
          <w:p w14:paraId="421D4F0B" w14:textId="71E2AC07" w:rsidR="00C30335" w:rsidRPr="00C30335" w:rsidRDefault="00C30335" w:rsidP="00C30335">
            <w:pPr>
              <w:spacing w:before="120" w:after="120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I avoid taking on a marking load whenever possible </w:t>
            </w:r>
          </w:p>
        </w:tc>
      </w:tr>
      <w:tr w:rsidR="00C30335" w:rsidRPr="00C30335" w14:paraId="7AFE6A89" w14:textId="77777777" w:rsidTr="00C30335">
        <w:tc>
          <w:tcPr>
            <w:tcW w:w="392" w:type="dxa"/>
            <w:shd w:val="clear" w:color="auto" w:fill="F7CAAC"/>
          </w:tcPr>
          <w:p w14:paraId="110BEB2A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2126" w:type="dxa"/>
            <w:shd w:val="clear" w:color="auto" w:fill="F7CAAC"/>
          </w:tcPr>
          <w:p w14:paraId="1149520C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Consistency and Variability</w:t>
            </w:r>
          </w:p>
        </w:tc>
        <w:tc>
          <w:tcPr>
            <w:tcW w:w="6804" w:type="dxa"/>
            <w:shd w:val="clear" w:color="auto" w:fill="F7CAAC"/>
          </w:tcPr>
          <w:p w14:paraId="44DD5B25" w14:textId="1FEE842D" w:rsidR="00C30335" w:rsidRPr="00C30335" w:rsidRDefault="00C30335" w:rsidP="00C30335">
            <w:pPr>
              <w:spacing w:before="120" w:after="120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Providing extensive feedback is a waste of time because students are only interested in their mark/ grade </w:t>
            </w:r>
          </w:p>
        </w:tc>
      </w:tr>
      <w:tr w:rsidR="00C30335" w:rsidRPr="00C30335" w14:paraId="29D87682" w14:textId="77777777" w:rsidTr="00C30335">
        <w:tc>
          <w:tcPr>
            <w:tcW w:w="392" w:type="dxa"/>
            <w:shd w:val="clear" w:color="auto" w:fill="F7CAAC"/>
          </w:tcPr>
          <w:p w14:paraId="255A4191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2126" w:type="dxa"/>
            <w:shd w:val="clear" w:color="auto" w:fill="F7CAAC"/>
          </w:tcPr>
          <w:p w14:paraId="12922322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Consistency and Variability</w:t>
            </w:r>
          </w:p>
        </w:tc>
        <w:tc>
          <w:tcPr>
            <w:tcW w:w="6804" w:type="dxa"/>
            <w:shd w:val="clear" w:color="auto" w:fill="F7CAAC"/>
          </w:tcPr>
          <w:p w14:paraId="0B5A7F76" w14:textId="1C51811A" w:rsidR="00C30335" w:rsidRPr="00C30335" w:rsidRDefault="00C30335" w:rsidP="00C30335">
            <w:pPr>
              <w:spacing w:before="120" w:after="120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Prolonged stretches of marking negatively impact on the quality of my marking </w:t>
            </w:r>
          </w:p>
        </w:tc>
      </w:tr>
      <w:tr w:rsidR="00C30335" w:rsidRPr="00C30335" w14:paraId="5E5BE06D" w14:textId="77777777" w:rsidTr="00C30335">
        <w:tc>
          <w:tcPr>
            <w:tcW w:w="392" w:type="dxa"/>
            <w:shd w:val="clear" w:color="auto" w:fill="FFE599"/>
          </w:tcPr>
          <w:p w14:paraId="70472C3F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2126" w:type="dxa"/>
            <w:shd w:val="clear" w:color="auto" w:fill="FFE599"/>
            <w:vAlign w:val="center"/>
          </w:tcPr>
          <w:p w14:paraId="7579509D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Practices and beliefs</w:t>
            </w:r>
          </w:p>
        </w:tc>
        <w:tc>
          <w:tcPr>
            <w:tcW w:w="6804" w:type="dxa"/>
            <w:shd w:val="clear" w:color="auto" w:fill="FFE599"/>
          </w:tcPr>
          <w:p w14:paraId="4A168E3F" w14:textId="7DD2723F" w:rsidR="00C30335" w:rsidRPr="00C30335" w:rsidRDefault="00C30335" w:rsidP="00C30335">
            <w:pPr>
              <w:spacing w:before="120" w:after="120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Clear and consistent communication of expectations to students and markers, e.g. what constitutes a pass, credit, distinction, etc, is crucial to ensure  reliable grading across markers </w:t>
            </w:r>
          </w:p>
        </w:tc>
      </w:tr>
      <w:tr w:rsidR="00C30335" w:rsidRPr="00C30335" w14:paraId="6A7E3F12" w14:textId="77777777" w:rsidTr="00C30335">
        <w:tc>
          <w:tcPr>
            <w:tcW w:w="392" w:type="dxa"/>
            <w:shd w:val="clear" w:color="auto" w:fill="FFE599"/>
          </w:tcPr>
          <w:p w14:paraId="05BD91C3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2126" w:type="dxa"/>
            <w:shd w:val="clear" w:color="auto" w:fill="FFE599"/>
          </w:tcPr>
          <w:p w14:paraId="548DA959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Practices and beliefs</w:t>
            </w:r>
          </w:p>
        </w:tc>
        <w:tc>
          <w:tcPr>
            <w:tcW w:w="6804" w:type="dxa"/>
            <w:shd w:val="clear" w:color="auto" w:fill="FFE599"/>
          </w:tcPr>
          <w:p w14:paraId="59A6AE6C" w14:textId="0D75D6BF" w:rsidR="00C30335" w:rsidRPr="00C30335" w:rsidRDefault="00C30335" w:rsidP="00C30335">
            <w:pPr>
              <w:spacing w:before="120" w:after="120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Having a pre-marking meeting about the marking criteria is important </w:t>
            </w:r>
          </w:p>
        </w:tc>
      </w:tr>
      <w:tr w:rsidR="00C30335" w:rsidRPr="00C30335" w14:paraId="10A67236" w14:textId="77777777" w:rsidTr="00C30335">
        <w:tc>
          <w:tcPr>
            <w:tcW w:w="392" w:type="dxa"/>
            <w:shd w:val="clear" w:color="auto" w:fill="FFE599"/>
          </w:tcPr>
          <w:p w14:paraId="08468D94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2126" w:type="dxa"/>
            <w:shd w:val="clear" w:color="auto" w:fill="FFE599"/>
            <w:vAlign w:val="center"/>
          </w:tcPr>
          <w:p w14:paraId="15B219CB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Practices and beliefs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C944EF8" w14:textId="7CBC1A9A" w:rsidR="00C30335" w:rsidRPr="00C30335" w:rsidRDefault="00C30335" w:rsidP="00C30335">
            <w:pPr>
              <w:spacing w:before="120" w:after="120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My marking is always consistent, from the first assessment I mark, to the final assessment </w:t>
            </w:r>
          </w:p>
        </w:tc>
      </w:tr>
      <w:tr w:rsidR="00C30335" w:rsidRPr="00C30335" w14:paraId="2A8FC794" w14:textId="77777777" w:rsidTr="00C30335">
        <w:tc>
          <w:tcPr>
            <w:tcW w:w="392" w:type="dxa"/>
            <w:shd w:val="clear" w:color="auto" w:fill="FFE599"/>
          </w:tcPr>
          <w:p w14:paraId="5C784DAB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2126" w:type="dxa"/>
            <w:shd w:val="clear" w:color="auto" w:fill="FFE599"/>
          </w:tcPr>
          <w:p w14:paraId="0E4880FA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Practices and beliefs</w:t>
            </w:r>
          </w:p>
        </w:tc>
        <w:tc>
          <w:tcPr>
            <w:tcW w:w="6804" w:type="dxa"/>
            <w:shd w:val="clear" w:color="auto" w:fill="FFE599"/>
          </w:tcPr>
          <w:p w14:paraId="0E88A0DC" w14:textId="57556F25" w:rsidR="00C30335" w:rsidRPr="00C30335" w:rsidRDefault="00C30335" w:rsidP="00C30335">
            <w:pPr>
              <w:spacing w:before="120" w:after="120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Providing constructive feedback on assessments is important when marking </w:t>
            </w:r>
          </w:p>
        </w:tc>
      </w:tr>
      <w:tr w:rsidR="00C30335" w:rsidRPr="00C30335" w14:paraId="18447F28" w14:textId="77777777" w:rsidTr="00C30335">
        <w:tc>
          <w:tcPr>
            <w:tcW w:w="392" w:type="dxa"/>
            <w:shd w:val="clear" w:color="auto" w:fill="FFE599"/>
          </w:tcPr>
          <w:p w14:paraId="68E84052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2126" w:type="dxa"/>
            <w:shd w:val="clear" w:color="auto" w:fill="FFE599"/>
            <w:vAlign w:val="center"/>
          </w:tcPr>
          <w:p w14:paraId="30F8758A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Practices and beliefs</w:t>
            </w:r>
          </w:p>
        </w:tc>
        <w:tc>
          <w:tcPr>
            <w:tcW w:w="6804" w:type="dxa"/>
            <w:shd w:val="clear" w:color="auto" w:fill="FFE599"/>
          </w:tcPr>
          <w:p w14:paraId="46C1EA40" w14:textId="0395B92F" w:rsidR="00C30335" w:rsidRPr="00C30335" w:rsidRDefault="00C30335" w:rsidP="00C30335">
            <w:pPr>
              <w:spacing w:before="120" w:after="120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Overall, I find the marking criteria provided are useful hence marking expectations are simplified </w:t>
            </w:r>
          </w:p>
        </w:tc>
      </w:tr>
      <w:tr w:rsidR="00C30335" w:rsidRPr="00C30335" w14:paraId="3C0BF7E2" w14:textId="77777777" w:rsidTr="00C30335">
        <w:tc>
          <w:tcPr>
            <w:tcW w:w="392" w:type="dxa"/>
            <w:shd w:val="clear" w:color="auto" w:fill="FFE599"/>
          </w:tcPr>
          <w:p w14:paraId="16CED635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14</w:t>
            </w:r>
          </w:p>
        </w:tc>
        <w:tc>
          <w:tcPr>
            <w:tcW w:w="2126" w:type="dxa"/>
            <w:shd w:val="clear" w:color="auto" w:fill="FFE599"/>
          </w:tcPr>
          <w:p w14:paraId="17FC7D55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Practices and beliefs</w:t>
            </w:r>
          </w:p>
        </w:tc>
        <w:tc>
          <w:tcPr>
            <w:tcW w:w="6804" w:type="dxa"/>
            <w:shd w:val="clear" w:color="auto" w:fill="FFE599"/>
          </w:tcPr>
          <w:p w14:paraId="4C60E3B2" w14:textId="21EDF247" w:rsidR="00C30335" w:rsidRPr="00C30335" w:rsidRDefault="00C30335" w:rsidP="00C30335">
            <w:pPr>
              <w:spacing w:before="120" w:after="120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I spend a lot of time providing feedback on students’ assessment items </w:t>
            </w:r>
          </w:p>
        </w:tc>
      </w:tr>
      <w:tr w:rsidR="00C30335" w:rsidRPr="00C30335" w14:paraId="109E1358" w14:textId="77777777" w:rsidTr="00C30335">
        <w:tc>
          <w:tcPr>
            <w:tcW w:w="392" w:type="dxa"/>
            <w:shd w:val="clear" w:color="auto" w:fill="FFE599"/>
          </w:tcPr>
          <w:p w14:paraId="3231793C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2126" w:type="dxa"/>
            <w:shd w:val="clear" w:color="auto" w:fill="FFE599"/>
          </w:tcPr>
          <w:p w14:paraId="2F04CE5C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Practices and beliefs</w:t>
            </w:r>
          </w:p>
        </w:tc>
        <w:tc>
          <w:tcPr>
            <w:tcW w:w="6804" w:type="dxa"/>
            <w:shd w:val="clear" w:color="auto" w:fill="FFE599"/>
          </w:tcPr>
          <w:p w14:paraId="666D77E9" w14:textId="77777777" w:rsidR="00C30335" w:rsidRPr="00C30335" w:rsidRDefault="00C30335" w:rsidP="00C30335">
            <w:pPr>
              <w:spacing w:before="120" w:after="120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>I always make sure I review the first few assessments I mark after marking all my marking allocation.</w:t>
            </w:r>
          </w:p>
        </w:tc>
      </w:tr>
      <w:tr w:rsidR="00C30335" w:rsidRPr="00C30335" w14:paraId="2D855BBA" w14:textId="77777777" w:rsidTr="00C30335">
        <w:tc>
          <w:tcPr>
            <w:tcW w:w="392" w:type="dxa"/>
            <w:shd w:val="clear" w:color="auto" w:fill="B4C6E7"/>
            <w:vAlign w:val="center"/>
          </w:tcPr>
          <w:p w14:paraId="5B63CD02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lastRenderedPageBreak/>
              <w:t>16</w:t>
            </w:r>
          </w:p>
        </w:tc>
        <w:tc>
          <w:tcPr>
            <w:tcW w:w="2126" w:type="dxa"/>
            <w:shd w:val="clear" w:color="auto" w:fill="B4C6E7"/>
            <w:vAlign w:val="center"/>
          </w:tcPr>
          <w:p w14:paraId="1EBCA45D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Training and supports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5FA4712" w14:textId="40745C18" w:rsidR="00C30335" w:rsidRPr="00C30335" w:rsidRDefault="00C30335" w:rsidP="00C30335">
            <w:pPr>
              <w:widowControl w:val="0"/>
              <w:spacing w:before="120" w:after="120" w:line="240" w:lineRule="auto"/>
              <w:ind w:left="-8" w:right="435"/>
              <w:rPr>
                <w:rFonts w:eastAsia="Calibri" w:cs="Times New Roman"/>
                <w:sz w:val="16"/>
                <w:szCs w:val="16"/>
                <w:lang w:val="en-US"/>
              </w:rPr>
            </w:pPr>
            <w:r w:rsidRPr="00C30335">
              <w:rPr>
                <w:rFonts w:eastAsia="Calibri" w:cs="Times New Roman"/>
                <w:sz w:val="16"/>
                <w:szCs w:val="16"/>
                <w:lang w:val="en-US"/>
              </w:rPr>
              <w:t>I feel confident in using the online marking system</w:t>
            </w:r>
          </w:p>
        </w:tc>
      </w:tr>
      <w:tr w:rsidR="00C30335" w:rsidRPr="00C30335" w14:paraId="256C572A" w14:textId="77777777" w:rsidTr="00C30335">
        <w:tc>
          <w:tcPr>
            <w:tcW w:w="392" w:type="dxa"/>
            <w:shd w:val="clear" w:color="auto" w:fill="B4C6E7"/>
            <w:vAlign w:val="center"/>
          </w:tcPr>
          <w:p w14:paraId="701CAE68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17</w:t>
            </w:r>
          </w:p>
        </w:tc>
        <w:tc>
          <w:tcPr>
            <w:tcW w:w="2126" w:type="dxa"/>
            <w:shd w:val="clear" w:color="auto" w:fill="B4C6E7"/>
            <w:vAlign w:val="center"/>
          </w:tcPr>
          <w:p w14:paraId="175BC2B2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Training and supports</w:t>
            </w:r>
          </w:p>
        </w:tc>
        <w:tc>
          <w:tcPr>
            <w:tcW w:w="6804" w:type="dxa"/>
            <w:shd w:val="clear" w:color="auto" w:fill="B4C6E7"/>
          </w:tcPr>
          <w:p w14:paraId="3648E455" w14:textId="4AFDD770" w:rsidR="00C30335" w:rsidRPr="00C30335" w:rsidRDefault="00C30335" w:rsidP="00C30335">
            <w:pPr>
              <w:widowControl w:val="0"/>
              <w:spacing w:before="120" w:after="120" w:line="240" w:lineRule="auto"/>
              <w:ind w:right="619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The training I received to navigate the online marking system was sufficient </w:t>
            </w:r>
          </w:p>
        </w:tc>
      </w:tr>
      <w:tr w:rsidR="00C30335" w:rsidRPr="00C30335" w14:paraId="7DCBE39B" w14:textId="77777777" w:rsidTr="00C30335">
        <w:tc>
          <w:tcPr>
            <w:tcW w:w="392" w:type="dxa"/>
            <w:shd w:val="clear" w:color="auto" w:fill="B4C6E7"/>
            <w:vAlign w:val="center"/>
          </w:tcPr>
          <w:p w14:paraId="4858A845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2126" w:type="dxa"/>
            <w:shd w:val="clear" w:color="auto" w:fill="B4C6E7"/>
            <w:vAlign w:val="center"/>
          </w:tcPr>
          <w:p w14:paraId="0C3C39E2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Training and supports</w:t>
            </w:r>
          </w:p>
        </w:tc>
        <w:tc>
          <w:tcPr>
            <w:tcW w:w="6804" w:type="dxa"/>
            <w:shd w:val="clear" w:color="auto" w:fill="B4C6E7"/>
          </w:tcPr>
          <w:p w14:paraId="7D854C45" w14:textId="073ED1E9" w:rsidR="00C30335" w:rsidRPr="00C30335" w:rsidRDefault="00C30335" w:rsidP="00C30335">
            <w:pPr>
              <w:widowControl w:val="0"/>
              <w:spacing w:before="120" w:after="120" w:line="240" w:lineRule="auto"/>
              <w:ind w:right="619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 xml:space="preserve">In general, I am provided with adequate support throughout the marking process </w:t>
            </w:r>
          </w:p>
        </w:tc>
      </w:tr>
      <w:tr w:rsidR="00C30335" w:rsidRPr="00C30335" w14:paraId="7165E35A" w14:textId="77777777" w:rsidTr="00C30335">
        <w:tc>
          <w:tcPr>
            <w:tcW w:w="392" w:type="dxa"/>
            <w:shd w:val="clear" w:color="auto" w:fill="B4C6E7"/>
            <w:vAlign w:val="center"/>
          </w:tcPr>
          <w:p w14:paraId="11E7AAEC" w14:textId="77777777" w:rsidR="00C30335" w:rsidRPr="00C30335" w:rsidRDefault="00C30335" w:rsidP="00C30335">
            <w:pPr>
              <w:rPr>
                <w:rFonts w:eastAsia="Calibri" w:cs="Times New Roman"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Cs/>
                <w:sz w:val="16"/>
                <w:szCs w:val="16"/>
              </w:rPr>
              <w:t>19</w:t>
            </w:r>
          </w:p>
        </w:tc>
        <w:tc>
          <w:tcPr>
            <w:tcW w:w="2126" w:type="dxa"/>
            <w:shd w:val="clear" w:color="auto" w:fill="B4C6E7"/>
            <w:vAlign w:val="center"/>
          </w:tcPr>
          <w:p w14:paraId="7F94CBB7" w14:textId="77777777" w:rsidR="00C30335" w:rsidRPr="00C30335" w:rsidRDefault="00C30335" w:rsidP="00C30335">
            <w:pPr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30335">
              <w:rPr>
                <w:rFonts w:eastAsia="Calibri" w:cs="Times New Roman"/>
                <w:b/>
                <w:bCs/>
                <w:sz w:val="16"/>
                <w:szCs w:val="16"/>
              </w:rPr>
              <w:t>Training and supports</w:t>
            </w:r>
          </w:p>
        </w:tc>
        <w:tc>
          <w:tcPr>
            <w:tcW w:w="6804" w:type="dxa"/>
            <w:shd w:val="clear" w:color="auto" w:fill="B4C6E7"/>
          </w:tcPr>
          <w:p w14:paraId="0A581D3A" w14:textId="77777777" w:rsidR="00C30335" w:rsidRPr="00C30335" w:rsidRDefault="00C30335" w:rsidP="00C30335">
            <w:pPr>
              <w:widowControl w:val="0"/>
              <w:spacing w:before="120" w:after="120" w:line="240" w:lineRule="auto"/>
              <w:ind w:right="619"/>
              <w:rPr>
                <w:rFonts w:eastAsia="Calibri" w:cs="Times New Roman"/>
                <w:sz w:val="16"/>
                <w:szCs w:val="16"/>
              </w:rPr>
            </w:pPr>
            <w:r w:rsidRPr="00C30335">
              <w:rPr>
                <w:rFonts w:eastAsia="Calibri" w:cs="Times New Roman"/>
                <w:sz w:val="16"/>
                <w:szCs w:val="16"/>
              </w:rPr>
              <w:t>I am confident that I always award an accurate mark/grade</w:t>
            </w:r>
          </w:p>
        </w:tc>
      </w:tr>
    </w:tbl>
    <w:p w14:paraId="160FFBF1" w14:textId="77777777" w:rsidR="001743EE" w:rsidRPr="00C30335" w:rsidRDefault="001743EE">
      <w:pPr>
        <w:rPr>
          <w:sz w:val="16"/>
          <w:szCs w:val="16"/>
        </w:rPr>
      </w:pPr>
    </w:p>
    <w:sectPr w:rsidR="001743EE" w:rsidRPr="00C30335" w:rsidSect="00C3033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35"/>
    <w:rsid w:val="00055DBC"/>
    <w:rsid w:val="00122B09"/>
    <w:rsid w:val="001743EE"/>
    <w:rsid w:val="001C076B"/>
    <w:rsid w:val="00537B05"/>
    <w:rsid w:val="00A01B71"/>
    <w:rsid w:val="00AF5C86"/>
    <w:rsid w:val="00BD2FDB"/>
    <w:rsid w:val="00C30335"/>
    <w:rsid w:val="00D97B9B"/>
    <w:rsid w:val="00DC39AB"/>
    <w:rsid w:val="00E31205"/>
    <w:rsid w:val="00ED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515E8"/>
  <w15:chartTrackingRefBased/>
  <w15:docId w15:val="{F4A73831-6196-4F11-9537-A2521E93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AB"/>
    <w:pPr>
      <w:spacing w:before="0"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7B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D97B9B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97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1">
    <w:name w:val="Style1"/>
    <w:basedOn w:val="Normal"/>
    <w:autoRedefine/>
    <w:qFormat/>
    <w:rsid w:val="00D97B9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3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3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3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3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3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0335"/>
    <w:pPr>
      <w:spacing w:before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Daly</dc:creator>
  <cp:keywords/>
  <dc:description/>
  <cp:lastModifiedBy>Miranda Daly</cp:lastModifiedBy>
  <cp:revision>1</cp:revision>
  <dcterms:created xsi:type="dcterms:W3CDTF">2024-09-27T08:45:00Z</dcterms:created>
  <dcterms:modified xsi:type="dcterms:W3CDTF">2024-09-27T09:28:00Z</dcterms:modified>
</cp:coreProperties>
</file>